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ind w:left="4990" w:right="0" w:hanging="0"/>
        <w:jc w:val="righ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Типовая форма утверждена</w:t>
      </w:r>
    </w:p>
    <w:p>
      <w:pPr>
        <w:pStyle w:val="Normal"/>
        <w:spacing w:lineRule="atLeast" w:line="100" w:before="0" w:after="0"/>
        <w:ind w:left="4990" w:right="0" w:hanging="0"/>
        <w:jc w:val="righ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Постановлением Правительства</w:t>
      </w:r>
    </w:p>
    <w:p>
      <w:pPr>
        <w:pStyle w:val="Normal"/>
        <w:spacing w:lineRule="atLeast" w:line="100" w:before="0" w:after="0"/>
        <w:ind w:left="4990" w:right="0" w:hanging="0"/>
        <w:jc w:val="righ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Российской Федерации</w:t>
      </w:r>
    </w:p>
    <w:p>
      <w:pPr>
        <w:pStyle w:val="Normal"/>
        <w:spacing w:lineRule="atLeast" w:line="100" w:before="0" w:after="0"/>
        <w:ind w:left="4990" w:right="0" w:hanging="0"/>
        <w:jc w:val="right"/>
        <w:rPr>
          <w:rFonts w:ascii="Times New Roman" w:hAnsi="Times New Roman" w:cs="Times New Roman"/>
          <w:b w:val="false"/>
          <w:b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</w:rPr>
        <w:t>от 29 июля  2013г. № 645</w:t>
      </w:r>
    </w:p>
    <w:p>
      <w:pPr>
        <w:pStyle w:val="ConsPlusTitle"/>
        <w:ind w:firstLine="567"/>
        <w:jc w:val="right"/>
        <w:rPr>
          <w:rFonts w:ascii="Times New Roman" w:hAnsi="Times New Roman" w:cs="Times New Roman"/>
          <w:b w:val="false"/>
          <w:b w:val="false"/>
          <w:sz w:val="20"/>
        </w:rPr>
      </w:pPr>
      <w:r>
        <w:rPr>
          <w:rFonts w:cs="Times New Roman" w:ascii="Times New Roman" w:hAnsi="Times New Roman"/>
          <w:b w:val="false"/>
          <w:sz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bCs/>
          <w:sz w:val="20"/>
          <w:szCs w:val="20"/>
        </w:rPr>
        <w:t xml:space="preserve"> </w:t>
      </w:r>
      <w:r>
        <w:rPr>
          <w:rFonts w:cs="Arial" w:ascii="Times New Roman" w:hAnsi="Times New Roman"/>
          <w:b/>
          <w:bCs/>
          <w:sz w:val="20"/>
          <w:szCs w:val="20"/>
        </w:rPr>
        <w:t xml:space="preserve">ДОГОВОР №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Times New Roman" w:hAnsi="Times New Roman"/>
          <w:b/>
          <w:bCs/>
          <w:sz w:val="20"/>
          <w:szCs w:val="20"/>
        </w:rPr>
        <w:t>Водоотведения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cs="Arial" w:ascii="Times New Roman" w:hAnsi="Times New Roman"/>
        </w:rPr>
        <w:t>г. Сыктывкар                                                                                                                                              "  "  2019г.</w:t>
      </w:r>
    </w:p>
    <w:p>
      <w:pPr>
        <w:pStyle w:val="ConsPlusNonformat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nformat"/>
        <w:ind w:left="0" w:right="0" w:hanging="0"/>
        <w:jc w:val="both"/>
        <w:rPr/>
      </w:pPr>
      <w:r>
        <w:rPr>
          <w:rFonts w:cs="Arial" w:ascii="Times New Roman" w:hAnsi="Times New Roman"/>
        </w:rPr>
        <w:t xml:space="preserve">Открытое акционерное общество «Сыктывкарский Водоканал», именуемое в дальнейшем    организацией   водопроводно-канализационного хозяйства, в лице в лице заместителя генерального директора по экономике и финансам Руденко Ольги Сергеевны, действующего на основании доверенности № 01/09-13/7551 от 04.12.2018г.,с одной стороны, и </w:t>
      </w:r>
      <w:r>
        <w:rPr>
          <w:rFonts w:cs="Arial" w:ascii="Times New Roman" w:hAnsi="Times New Roman"/>
          <w:b/>
          <w:bCs/>
        </w:rPr>
        <w:t>________________________________________</w:t>
      </w:r>
      <w:r>
        <w:rPr>
          <w:rFonts w:cs="Arial" w:ascii="Times New Roman" w:hAnsi="Times New Roman"/>
        </w:rPr>
        <w:t>, именуемое в дальнейшем перевозчик, в лице генерального директора _____________________________________, действующего на основании Устава, с другой стороны, именуемые в  дальнейшем  сторонами,  заключили 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I. Предмет договора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1. По настоящему договору организация водопроводно-канализационного хозяйства, осуществляющая водоотведение, обязуется осуществлять прием сточных вод перевозчика в централизованную систему водоотведения и обеспечивать их транспортировку, очистку и сброс в водный объект, а перевозчик обязуется соблюдать, требования к составу и свойствам отводимых сточных вод, установленные законодательством Российской Федерации, нормативы допустимых сбросов загрязняющих веществ, иных веществ и микроорганизмов (далее - нормативы допустимых сбросов перевозчика), лимиты на сбросы загрязняющих веществ, иных веществ и микроорганизмов (далее - лимиты на сбросы),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 централизованные системы водоотведения сточных вод (далее - нормативы по объему сточных вод) и нормативы водоотведения по составу сточных вод и производить организации водопроводно-канализационного хозяйства оплату водоотведения в сроки, порядке и размере, которые определены в настоящем договоре.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2. </w:t>
      </w:r>
      <w:r>
        <w:rPr>
          <w:rFonts w:cs="Arial" w:ascii="Times New Roman" w:hAnsi="Times New Roman"/>
          <w:bCs/>
          <w:sz w:val="20"/>
          <w:szCs w:val="20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определяются в соответствии с актом разграничения балансовой принадлежности и эксплуатационной ответственности по форме согласно приложению N 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3. Акт разграничения балансовой принадлежности и эксплуатационной ответственности, приведенный в приложении N 1 к настоящему договору, подлежит подписанию при заключении настоящего договора и является его неотъемлемой частью.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>Местом  исполнения   обязательств   по   настоящему  договору  является: КК 14-3-41 (м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>есто сброса сточных вод машинами в м.Тентюково</w:t>
      </w:r>
      <w:r>
        <w:rPr>
          <w:rFonts w:cs="Arial" w:ascii="Times New Roman" w:hAnsi="Times New Roman"/>
          <w:b w:val="false"/>
          <w:bCs w:val="false"/>
          <w:sz w:val="16"/>
          <w:szCs w:val="16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II. Сроки и режим приема сточных вод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>4. Датой начала приема сточных вод является "  "_______________ 2019г.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Режим приема сточных вод - круглосуточно.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III. Тарифы, сроки и порядок оплаты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5. Оплата по настоящему договору осуществляется перевозчиком по тарифам на водоотведение, установленным в соответствии с законодательством Российской Федерации о государственном регулировании цен (тарифов).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6. Расчетный период, установленный настоящим договором, равен одному календарному месяцу. Перевозчик вносит оплату по настоящему договору в следующем порядке: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50 процентов стоимости объема сточных вод, сброшенных перевозчиком за предыдущий месяц (для перевозчиков,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оплата за фактически оказанные услуги водоотведения в истекшем месяце с учетом средств, ранее внесенных перевозчиком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первичных учетных документов,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2">
        <w:r>
          <w:rPr>
            <w:rStyle w:val="Style14"/>
            <w:rFonts w:cs="Arial" w:ascii="Times New Roman" w:hAnsi="Times New Roman"/>
            <w:sz w:val="20"/>
            <w:szCs w:val="20"/>
          </w:rPr>
          <w:t>Правилами</w:t>
        </w:r>
      </w:hyperlink>
      <w:r>
        <w:rPr>
          <w:rFonts w:cs="Arial" w:ascii="Times New Roman" w:hAnsi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сточных вод, за который перевозчиком была произведена оплата, излишне уплаченная сумма засчитывается в счет последующего платежа за следующий месяц.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7. Сверка расчетов по настоящему договору проводится между организацией водопроводно-канализационного хозяйства и перевозчиком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8. Размер платы за негативное воздействие на работу централизованной системы водоотведения, а также размер платы перевозчика в связи с нарушением нормативов водоотведения по составу сточных вод рассчитываются в соответствии с требованиями законодательства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IV. Права и обязанности сторон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9. Организация водопроводно-канализационного хозяйства обязана: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а) обеспечивать учет сбрасываемых сточных вод в порядке, установленном </w:t>
      </w:r>
      <w:hyperlink w:anchor="Par103">
        <w:r>
          <w:rPr>
            <w:rStyle w:val="Style14"/>
            <w:rFonts w:cs="Arial" w:ascii="Times New Roman" w:hAnsi="Times New Roman"/>
            <w:sz w:val="20"/>
            <w:szCs w:val="20"/>
          </w:rPr>
          <w:t>разделом V</w:t>
        </w:r>
      </w:hyperlink>
      <w:r>
        <w:rPr>
          <w:rFonts w:cs="Arial" w:ascii="Times New Roman" w:hAnsi="Times New Roman"/>
          <w:sz w:val="20"/>
          <w:szCs w:val="20"/>
        </w:rPr>
        <w:t xml:space="preserve"> настоящего договора, и в соответствии с </w:t>
      </w:r>
      <w:hyperlink r:id="rId3">
        <w:r>
          <w:rPr>
            <w:rStyle w:val="Style14"/>
            <w:rFonts w:cs="Arial" w:ascii="Times New Roman" w:hAnsi="Times New Roman"/>
            <w:sz w:val="20"/>
            <w:szCs w:val="20"/>
          </w:rPr>
          <w:t>Правилами</w:t>
        </w:r>
      </w:hyperlink>
      <w:r>
        <w:rPr>
          <w:rFonts w:cs="Arial" w:ascii="Times New Roman" w:hAnsi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договором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в) соблюдать установленный режим приема сточных вод;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г) предупреждать перевозчика о временном прекращении или ограничении водоотведения в порядке и случаях, которые предусмотрены настоящим договором и нормативными правовыми актами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д) принимать необходимые меры по своевременной ликвидации аварий и повреждений на централизованной системе водоотведения, принадлежащей организации водопроводно-канализационного хозяйства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е) требовать от перевозчика реализации мероприятий, направленных на достижение установленных нормативов допустимых сбросов,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ж) осуществлять контроль за соблюдением перевозчиком режима водоотведения,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з) предоставлять перевозчику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и) отвечать на жалобы и обращения перевозчика, относящиеся к исполнению настоящего договора, в течение срока, установленного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к) уведомлять перевозчика о графиках и сроках проведения планово-предупредительного ремонта канализационных сетей, через которые осуществляется водоотведение сточных вод перевозчика;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10. Организация водопроводно-канализационного хозяйства имеет право: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б) осуществлять контроль за наличием самовольного пользования перевозчиком и (или) самовольного сброса в централизованную систему водоотведения, вне места исполнения обязательств в соответствии с п. 3 настоящего договора и принимать меры по предотвращению самовольного пользования перевозчиком централизованной системой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г) взимать с перевозчика плату за сброс и отведение сточных вод сверх установленных нормативов по составу 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д) инициировать проведение сверки расчетов по настоящему договору.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11. Перевозчик обязан: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д) соблюдать установленный настоящим договором режим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е) производить оплату по настоящему договору в порядке, размере и сроки, которые определены в соответствии с настоящим договором, в том числе вносить плату за негативное воздействие на работу централизованной системы водоотведения и плату за нарушение нормативов по составу сточных вод, а также в случаях, установленных законодательством Российской Федерации, возмещать вред, причиненный водному объекту;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з) соблюдать установленные нормативы допустимых сбросов и лимиты на сбросы, обеспечивать реализацию плана снижения сбросов (если для объектов этой категории в соответствии с законодательством Российской Федерации устанавливаются нормативы допустимых сбросов), соблюдать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12. Перевозчик имеет право: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а) получать от организации водопроводно-канализационного хозяйства информацию о результатах контроля состава и свойств сточных вод, осуществляемого организацией водопроводно-канализационного хозяйства, в соответствии с </w:t>
      </w:r>
      <w:hyperlink r:id="rId4">
        <w:r>
          <w:rPr>
            <w:rStyle w:val="Style14"/>
            <w:rFonts w:cs="Arial" w:ascii="Times New Roman" w:hAnsi="Times New Roman"/>
            <w:sz w:val="20"/>
            <w:szCs w:val="20"/>
          </w:rPr>
          <w:t>Правилами</w:t>
        </w:r>
      </w:hyperlink>
      <w:r>
        <w:rPr>
          <w:rFonts w:cs="Arial" w:ascii="Times New Roman" w:hAnsi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N 525 "Об утверждении Правил осуществления контроля состава и свойств сточных вод" (далее - Правила осуществления контроля состава и свойств сточных вод);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б) получать от организации водопроводно-канализационного хозяйства информацию об изменении установленных тарифов на водоотведение;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г) инициировать проведение сверки расчетов по настоящему договору;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д) осуществлять в целях контроля состава и свойств сточных вод отбор проб сточных вод, в том числе параллельный отбор проб, принимать участие в отборе проб сточных вод, осуществляемом организацией водопроводно-канализационного хозяйства.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bookmarkStart w:id="0" w:name="Par103"/>
      <w:bookmarkEnd w:id="0"/>
      <w:r>
        <w:rPr>
          <w:rFonts w:cs="Arial" w:ascii="Times New Roman" w:hAnsi="Times New Roman"/>
          <w:b/>
          <w:sz w:val="20"/>
          <w:szCs w:val="20"/>
        </w:rPr>
        <w:t>V. Порядок осуществления учета принимаемых сточных вод, сроки и способы предоставления организации водопроводно-канализационного хозяйства показаний приборов учета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13. Коммерческий  учет   сточных   вод   в   узлах  учета  обеспечивает организация водопроводно-канализационного хозяйства.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14. Количество принятых организацией водопроводно-канализационного хозяйства сточных вод определяется стороной, осуществляющей коммерческий учет сточных вод расчетным способом по максимальной загрузке емкости автоцистерны перевозчика.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15.  Учет принятых сточных вод от перевозчика осуществляется оператором канализационной насосной станции организации водопроводно-канализационного хозяйства.  Учет  объема  принятых (отведенных) сточных вод производится расчетным способом и вносится в  журнал  учета  принятых сточных вод, и предъявляется к оплате по итогам расчетного периода.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bookmarkStart w:id="1" w:name="Par131"/>
      <w:bookmarkEnd w:id="1"/>
      <w:r>
        <w:rPr>
          <w:rFonts w:cs="Arial" w:ascii="Times New Roman" w:hAnsi="Times New Roman"/>
          <w:b/>
          <w:sz w:val="20"/>
          <w:szCs w:val="20"/>
        </w:rPr>
        <w:t>VI. Контроль состава и свойств сточных вод, места и порядок отбора проб сточных вод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16. Контроль состава и свойств сточных вод в отношении перевозчика осуществляется в соответствии с </w:t>
      </w:r>
      <w:hyperlink r:id="rId5">
        <w:r>
          <w:rPr>
            <w:rStyle w:val="Style14"/>
            <w:rFonts w:cs="Arial" w:ascii="Times New Roman" w:hAnsi="Times New Roman"/>
            <w:sz w:val="20"/>
            <w:szCs w:val="20"/>
          </w:rPr>
          <w:t>Правилами</w:t>
        </w:r>
      </w:hyperlink>
      <w:r>
        <w:rPr>
          <w:rFonts w:cs="Arial" w:ascii="Times New Roman" w:hAnsi="Times New Roman"/>
          <w:sz w:val="20"/>
          <w:szCs w:val="20"/>
        </w:rPr>
        <w:t xml:space="preserve"> осуществления контроля состава и свойств сточных вод.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  <w:lang w:val="en-US"/>
        </w:rPr>
        <w:t>VII</w:t>
      </w:r>
      <w:r>
        <w:rPr>
          <w:rFonts w:cs="Arial" w:ascii="Times New Roman" w:hAnsi="Times New Roman"/>
          <w:b/>
          <w:sz w:val="20"/>
          <w:szCs w:val="20"/>
        </w:rPr>
        <w:t>. Условия прекращения или ограничения приема сточных вод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 xml:space="preserve">17. Организация водопроводно-канализационного хозяйства вправе осуществить временное прекращение или ограничение приема сточных вод перевозчика только в случаях, установленных Федеральным </w:t>
      </w:r>
      <w:hyperlink r:id="rId6">
        <w:r>
          <w:rPr>
            <w:rStyle w:val="Style14"/>
            <w:rFonts w:cs="Arial" w:ascii="Times New Roman" w:hAnsi="Times New Roman"/>
            <w:sz w:val="20"/>
            <w:szCs w:val="20"/>
          </w:rPr>
          <w:t>законом</w:t>
        </w:r>
      </w:hyperlink>
      <w:r>
        <w:rPr>
          <w:rFonts w:cs="Arial" w:ascii="Times New Roman" w:hAnsi="Times New Roman"/>
          <w:sz w:val="20"/>
          <w:szCs w:val="20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7">
        <w:r>
          <w:rPr>
            <w:rStyle w:val="Style14"/>
            <w:rFonts w:cs="Arial" w:ascii="Times New Roman" w:hAnsi="Times New Roman"/>
            <w:sz w:val="20"/>
            <w:szCs w:val="20"/>
          </w:rPr>
          <w:t>Правилами</w:t>
        </w:r>
      </w:hyperlink>
      <w:r>
        <w:rPr>
          <w:rFonts w:cs="Arial" w:ascii="Times New Roman" w:hAnsi="Times New Roman"/>
          <w:sz w:val="20"/>
          <w:szCs w:val="20"/>
        </w:rPr>
        <w:t xml:space="preserve"> холодного водоснабжения и водоотведения.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18. Организация водопроводно-канализационного хозяйства в течение одних суток  со  дня  временного  прекращения  или ограничения приема сточных вод уведомляет о таком прекращении или ограничении:</w:t>
      </w:r>
    </w:p>
    <w:p>
      <w:pPr>
        <w:pStyle w:val="ConsPlusNormal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Times New Roman" w:hAnsi="Times New Roman"/>
          <w:sz w:val="20"/>
        </w:rPr>
        <w:t>а) перевозчика;</w:t>
      </w:r>
    </w:p>
    <w:p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cs="Arial" w:ascii="Times New Roman" w:hAnsi="Times New Roman"/>
        </w:rPr>
        <w:t>б) Администрацию, МО ГО Сыктывкар/Администрацию СП «Выльгорт»;</w:t>
      </w:r>
    </w:p>
    <w:p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cs="Arial" w:ascii="Times New Roman" w:hAnsi="Times New Roman"/>
        </w:rPr>
        <w:t>в) Управление Роспотребнадзора по Республике Коми;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19. Уведомление организацией водопроводно-канализационного хозяйства о временном прекращении или ограничении приема сточных вод,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  <w:lang w:val="en-US"/>
        </w:rPr>
        <w:t>VIII</w:t>
      </w:r>
      <w:r>
        <w:rPr>
          <w:rFonts w:cs="Arial" w:ascii="Times New Roman" w:hAnsi="Times New Roman"/>
          <w:b/>
          <w:sz w:val="20"/>
          <w:szCs w:val="20"/>
        </w:rPr>
        <w:t>. Порядок урегулирования споров и разногласий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20.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21. Претензия направляется по адресу стороны, указанному в реквизитах договора, и должна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а) сведения о заявителе (наименование, местонахождение (адрес);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б) содержание спора, разногласий;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г) другие сведения по усмотрению стороны.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22. Сторона, получившая претензию, в течение 5 рабочих дней со дня поступления претензии обязана ее рассмотреть и дать ответ.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23. Стороны составляют акт об урегулировании спора или разногласий.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24. В случае недостижения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  <w:lang w:val="en-US"/>
        </w:rPr>
        <w:t>IX</w:t>
      </w:r>
      <w:r>
        <w:rPr>
          <w:rFonts w:cs="Arial" w:ascii="Times New Roman" w:hAnsi="Times New Roman"/>
          <w:b/>
          <w:sz w:val="20"/>
          <w:szCs w:val="20"/>
        </w:rPr>
        <w:t>. Ответственность сторон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26. В случае нарушения организацией водопроводно-канализационного хозяйства режима приема сточных вод перевозчик вправе потребовать пропорционального снижения размера оплаты по настоящему договору в соответствующем расчетном периоде.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27. В случае неисполнения либо ненадлежащего исполнения перевозчиком обязательств по оплате настоящего договора организация водопроводно-канализационного хозяйства вправе потребовать от перевозчика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X. Обстоятельства непреодолимой силы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28.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29.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XI. Срок действия договора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Times New Roman" w:hAnsi="Times New Roman"/>
          <w:sz w:val="20"/>
          <w:szCs w:val="20"/>
        </w:rPr>
        <w:t>30. Настоящий договор вступает в силу с даты его подписания Сторонами и распространяет свою силу на отношения сторон, возникшие с 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0"/>
          <w:szCs w:val="20"/>
        </w:rPr>
        <w:t>31. Настоящий договор заключен на срок  1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32. Настоящий договор считается ежегодно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33. Настоящий договор может быть расторгнут до окончания срока его действия по обоюдному согласию сторон.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34.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XII. Прочие условия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35.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36.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37. При исполнении настоящего договора стороны обязуются руководствоваться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38. Настоящий договор составлен в двух экземплярах, имеющих одинаковую юридическую силу.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39. Приложения к настоящему договору являются его неотъемлемой частью.</w:t>
      </w:r>
    </w:p>
    <w:p>
      <w:pPr>
        <w:pStyle w:val="ConsPlusNormal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Times New Roman" w:hAnsi="Times New Roman"/>
          <w:sz w:val="20"/>
        </w:rPr>
        <w:t>40. Реквизиты и подписи сторон:</w:t>
      </w:r>
    </w:p>
    <w:p>
      <w:pPr>
        <w:pStyle w:val="ConsPlusNormal"/>
        <w:ind w:left="142" w:firstLine="567"/>
        <w:jc w:val="both"/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tbl>
      <w:tblPr>
        <w:tblStyle w:val="a3"/>
        <w:tblW w:w="10564" w:type="dxa"/>
        <w:jc w:val="left"/>
        <w:tblInd w:w="141" w:type="dxa"/>
        <w:tblCellMar>
          <w:top w:w="0" w:type="dxa"/>
          <w:left w:w="153" w:type="dxa"/>
          <w:bottom w:w="0" w:type="dxa"/>
          <w:right w:w="108" w:type="dxa"/>
        </w:tblCellMar>
        <w:tblLook w:val="04a0"/>
      </w:tblPr>
      <w:tblGrid>
        <w:gridCol w:w="5299"/>
        <w:gridCol w:w="5264"/>
      </w:tblGrid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Организация водопроводно-</w:t>
            </w:r>
          </w:p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канализационного хозяйства: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Перевозчик: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Arial"/>
                <w:b/>
                <w:b/>
                <w:bCs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</w:r>
          </w:p>
        </w:tc>
      </w:tr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ОАО «Сыктывкарский Водоканал»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 xml:space="preserve">Юридический/почтовый адрес: 167000, г. Сыктывкар,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ул. Коммунистическая, д. 51.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Банковские реквизиты:</w:t>
            </w:r>
          </w:p>
          <w:p>
            <w:pPr>
              <w:pStyle w:val="Normal"/>
              <w:spacing w:before="0" w:after="0"/>
              <w:ind w:left="0" w:right="-1" w:hanging="0"/>
              <w:rPr/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р/с 40702810003000042830  в Ф-л «Северная столица» АО «Райффайзенбанк» г.Санкт-Петербург</w:t>
            </w:r>
          </w:p>
          <w:p>
            <w:pPr>
              <w:pStyle w:val="Normal"/>
              <w:tabs>
                <w:tab w:val="left" w:pos="6663" w:leader="none"/>
                <w:tab w:val="left" w:pos="7088" w:leader="none"/>
              </w:tabs>
              <w:spacing w:before="0" w:after="0"/>
              <w:ind w:left="0" w:right="-58" w:hanging="0"/>
              <w:rPr/>
            </w:pPr>
            <w:r>
              <w:rPr>
                <w:rFonts w:cs="Times New Roman" w:ascii="Times New Roman" w:hAnsi="Times New Roman"/>
                <w:sz w:val="15"/>
                <w:szCs w:val="15"/>
                <w:lang w:val="de-DE"/>
              </w:rPr>
              <w:t xml:space="preserve">к/с 30101810100000000723 </w:t>
            </w:r>
            <w:r>
              <w:rPr>
                <w:rFonts w:cs="Times New Roman" w:ascii="Times New Roman" w:hAnsi="Times New Roman"/>
                <w:sz w:val="15"/>
                <w:szCs w:val="15"/>
                <w:lang w:val="ru-RU"/>
              </w:rPr>
              <w:t xml:space="preserve">в ГРКЦ ГУ Банка России по г.Санкт-Петербургу     </w:t>
            </w:r>
            <w:r>
              <w:rPr>
                <w:rFonts w:cs="Times New Roman" w:ascii="Times New Roman" w:hAnsi="Times New Roman"/>
                <w:sz w:val="15"/>
                <w:szCs w:val="15"/>
                <w:lang w:val="de-DE"/>
              </w:rPr>
              <w:t xml:space="preserve">   БИК 044030723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ИНН/КПП 1101205944/110101001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ОГРН:1121101013054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ОКПО: 16929413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ОКТМО: 87701000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Тел/факс: (8212) 31-19-69, 32-91-39</w:t>
            </w:r>
          </w:p>
          <w:p>
            <w:pPr>
              <w:pStyle w:val="Style20"/>
              <w:tabs>
                <w:tab w:val="left" w:pos="0" w:leader="none"/>
              </w:tabs>
              <w:spacing w:before="0" w:after="0"/>
              <w:rPr/>
            </w:pPr>
            <w:r>
              <w:rPr>
                <w:rFonts w:cs="Times New Roman"/>
                <w:sz w:val="15"/>
                <w:szCs w:val="15"/>
              </w:rPr>
              <w:t xml:space="preserve">Адрес электронной почты (для уведомлений): </w:t>
            </w:r>
            <w:hyperlink r:id="rId8">
              <w:r>
                <w:rPr>
                  <w:rStyle w:val="Style14"/>
                  <w:rFonts w:cs="Times New Roman"/>
                  <w:color w:val="00000A"/>
                  <w:sz w:val="15"/>
                  <w:szCs w:val="15"/>
                  <w:lang w:val="en-US"/>
                </w:rPr>
                <w:t>komisvk</w:t>
              </w:r>
              <w:r>
                <w:rPr>
                  <w:rStyle w:val="Style14"/>
                  <w:rFonts w:cs="Times New Roman"/>
                  <w:color w:val="00000A"/>
                  <w:sz w:val="15"/>
                  <w:szCs w:val="15"/>
                </w:rPr>
                <w:t>@</w:t>
              </w:r>
              <w:r>
                <w:rPr>
                  <w:rStyle w:val="Style14"/>
                  <w:rFonts w:cs="Times New Roman"/>
                  <w:color w:val="00000A"/>
                  <w:sz w:val="15"/>
                  <w:szCs w:val="15"/>
                  <w:lang w:val="en-US"/>
                </w:rPr>
                <w:t>gmail</w:t>
              </w:r>
              <w:r>
                <w:rPr>
                  <w:rStyle w:val="Style14"/>
                  <w:rFonts w:cs="Times New Roman"/>
                  <w:color w:val="00000A"/>
                  <w:sz w:val="15"/>
                  <w:szCs w:val="15"/>
                </w:rPr>
                <w:t>.</w:t>
              </w:r>
              <w:r>
                <w:rPr>
                  <w:rStyle w:val="Style14"/>
                  <w:rFonts w:cs="Times New Roman"/>
                  <w:color w:val="00000A"/>
                  <w:sz w:val="15"/>
                  <w:szCs w:val="15"/>
                  <w:lang w:val="en-US"/>
                </w:rPr>
                <w:t>com</w:t>
              </w:r>
            </w:hyperlink>
            <w:r>
              <w:rPr>
                <w:rFonts w:cs="Times New Roman"/>
                <w:sz w:val="15"/>
                <w:szCs w:val="15"/>
              </w:rPr>
              <w:t xml:space="preserve"> </w:t>
            </w:r>
          </w:p>
          <w:p>
            <w:pPr>
              <w:pStyle w:val="ConsPlusNormal"/>
              <w:spacing w:before="0" w:after="0"/>
              <w:rPr/>
            </w:pPr>
            <w:r>
              <w:rPr>
                <w:rFonts w:cs="Times New Roman" w:ascii="Times New Roman" w:hAnsi="Times New Roman"/>
                <w:sz w:val="15"/>
                <w:szCs w:val="15"/>
              </w:rPr>
              <w:t xml:space="preserve">Адрес электронной почты (для реестров):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</w:rPr>
                <w:t>buhsvk@gmail.com</w:t>
              </w:r>
            </w:hyperlink>
          </w:p>
          <w:p>
            <w:pPr>
              <w:pStyle w:val="ConsPlusNormal"/>
              <w:spacing w:before="0" w:after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sz w:val="15"/>
                <w:szCs w:val="15"/>
              </w:rPr>
              <w:t>Передача показаний приборов учета:</w:t>
            </w:r>
          </w:p>
          <w:p>
            <w:pPr>
              <w:pStyle w:val="ConsPlusNormal"/>
              <w:spacing w:before="0" w:after="0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  <w:lang w:val="en-US"/>
                </w:rPr>
                <w:t>www</w:t>
              </w:r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  <w:lang w:val="en-US"/>
                </w:rPr>
                <w:t>svodokanal</w:t>
              </w:r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sz w:val="15"/>
                  <w:szCs w:val="15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15"/>
                <w:szCs w:val="15"/>
              </w:rPr>
              <w:t>; тел/факс: 31-28-62, 31-19-59;</w:t>
            </w:r>
          </w:p>
          <w:p>
            <w:pPr>
              <w:pStyle w:val="ConsPlus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5"/>
                <w:szCs w:val="15"/>
                <w:lang w:val="en-US"/>
              </w:rPr>
              <w:t>E-mail: oreal.svk@yandex.ru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left"/>
              <w:rPr>
                <w:rFonts w:ascii="Times New Roman" w:hAnsi="Times New Roman" w:cs="Arial"/>
                <w:sz w:val="16"/>
                <w:szCs w:val="16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0"/>
              </w:rPr>
              <w:t>_________________</w:t>
            </w:r>
            <w:r>
              <w:rPr>
                <w:rFonts w:cs="Arial" w:ascii="Times New Roman" w:hAnsi="Times New Roman"/>
                <w:b/>
                <w:bCs/>
                <w:sz w:val="20"/>
              </w:rPr>
              <w:t>О.С.Руденко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0"/>
              </w:rPr>
              <w:t>________________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6"/>
          <w:szCs w:val="16"/>
        </w:rPr>
      </w:pPr>
      <w:bookmarkStart w:id="2" w:name="Par280"/>
      <w:bookmarkEnd w:id="2"/>
      <w:r>
        <w:rPr>
          <w:rFonts w:cs="Arial" w:ascii="Times New Roman" w:hAnsi="Times New Roman"/>
          <w:sz w:val="16"/>
          <w:szCs w:val="16"/>
        </w:rPr>
        <w:t>Приложение N 1</w:t>
      </w:r>
    </w:p>
    <w:p>
      <w:pPr>
        <w:pStyle w:val="ConsPlusNormal"/>
        <w:ind w:left="142" w:hanging="0"/>
        <w:jc w:val="right"/>
        <w:rPr/>
      </w:pPr>
      <w:bookmarkStart w:id="3" w:name="__DdeLink__553_877160448"/>
      <w:bookmarkEnd w:id="3"/>
      <w:r>
        <w:rPr>
          <w:rFonts w:cs="Arial" w:ascii="Times New Roman" w:hAnsi="Times New Roman"/>
          <w:sz w:val="16"/>
          <w:szCs w:val="16"/>
        </w:rPr>
        <w:t>к договору  №  от .</w:t>
      </w:r>
    </w:p>
    <w:p>
      <w:pPr>
        <w:pStyle w:val="ConsPlusNormal"/>
        <w:ind w:left="142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Times New Roman" w:hAnsi="Times New Roman"/>
          <w:sz w:val="16"/>
          <w:szCs w:val="16"/>
        </w:rPr>
        <w:t>водоотведения</w:t>
      </w:r>
    </w:p>
    <w:p>
      <w:pPr>
        <w:pStyle w:val="ConsPlusNormal"/>
        <w:ind w:left="142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АКТ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о разграничении балансовой принадлежности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и эксплуатационной ответственности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ConsPlusNonformat"/>
        <w:ind w:left="142" w:firstLine="567"/>
        <w:jc w:val="both"/>
        <w:rPr/>
      </w:pPr>
      <w:r>
        <w:rPr>
          <w:rFonts w:cs="Arial" w:ascii="Times New Roman" w:hAnsi="Times New Roman"/>
        </w:rPr>
        <w:t xml:space="preserve">Открытое акционерное общество «Сыктывкарский Водоканал», именуемое   в    дальнейшем    организацией   водопроводно-канализационного хозяйства, в лице в лице заместителя генерального директора по экономике и финансам Руденко Ольги Сергеевны, действующего на основании доверенности 01/09-13/7551 от 04.12.2018г., с одной стороны, и </w:t>
      </w:r>
      <w:r>
        <w:rPr>
          <w:rFonts w:cs="Arial" w:ascii="Times New Roman" w:hAnsi="Times New Roman"/>
          <w:b/>
          <w:bCs/>
        </w:rPr>
        <w:t>___</w:t>
      </w:r>
      <w:r>
        <w:rPr>
          <w:rFonts w:cs="Arial" w:ascii="Times New Roman" w:hAnsi="Times New Roman"/>
          <w:b/>
          <w:bCs/>
        </w:rPr>
        <w:t>___________________________</w:t>
      </w:r>
      <w:r>
        <w:rPr>
          <w:rFonts w:cs="Arial" w:ascii="Times New Roman" w:hAnsi="Times New Roman"/>
        </w:rPr>
        <w:t>, именуемое в дальнейшем перевозчик, в лице генерального директора __________________________________, действующего на основании Устава, именуемое в дальнейшем Перевозчик,  с другой стороны, именуемые в  дальнейшем  сторонами, составили настоящий акт о  том,  что границей балансовой принадлежности объектов централизованных систем водоотведения  организации водопроводно-канализационного хозяйства является: КК 14-3-41 (м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>есто сброса сточных вод машинами в м.Тентюково</w:t>
      </w:r>
      <w:r>
        <w:rPr>
          <w:rFonts w:cs="Arial" w:ascii="Times New Roman" w:hAnsi="Times New Roman"/>
          <w:b w:val="false"/>
          <w:bCs w:val="false"/>
          <w:sz w:val="16"/>
          <w:szCs w:val="16"/>
        </w:rPr>
        <w:t>).</w:t>
      </w:r>
    </w:p>
    <w:p>
      <w:pPr>
        <w:pStyle w:val="ConsPlusNonformat"/>
        <w:ind w:left="142" w:firstLine="567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nformat"/>
        <w:ind w:left="142" w:firstLine="567"/>
        <w:jc w:val="both"/>
        <w:rPr/>
      </w:pPr>
      <w:r>
        <w:rPr>
          <w:rFonts w:cs="Arial" w:ascii="Times New Roman" w:hAnsi="Times New Roman"/>
        </w:rPr>
        <w:t>границей эксплуатационной ответственности объектов централизованных систем водоотведения  организации водопроводно-канализационного хозяйства является: КК 14-3-41 (м</w:t>
      </w:r>
      <w:r>
        <w:rPr>
          <w:rFonts w:cs="Arial" w:ascii="Times New Roman" w:hAnsi="Times New Roman"/>
          <w:b w:val="false"/>
          <w:bCs w:val="false"/>
          <w:sz w:val="20"/>
          <w:szCs w:val="20"/>
        </w:rPr>
        <w:t>есто сброса сточных вод машинами в м.Тентюково</w:t>
      </w:r>
      <w:r>
        <w:rPr>
          <w:rFonts w:cs="Arial" w:ascii="Times New Roman" w:hAnsi="Times New Roman"/>
          <w:b w:val="false"/>
          <w:bCs w:val="false"/>
          <w:sz w:val="16"/>
          <w:szCs w:val="16"/>
        </w:rPr>
        <w:t>)</w:t>
      </w:r>
      <w:r>
        <w:rPr>
          <w:rFonts w:cs="Arial" w:ascii="Times New Roman" w:hAnsi="Times New Roman"/>
        </w:rPr>
        <w:t xml:space="preserve">. </w:t>
      </w:r>
    </w:p>
    <w:p>
      <w:pPr>
        <w:pStyle w:val="ConsPlusNonformat"/>
        <w:ind w:left="142" w:hanging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nformat"/>
        <w:ind w:left="142" w:hanging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nformat"/>
        <w:ind w:left="142" w:hanging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tbl>
      <w:tblPr>
        <w:tblStyle w:val="a3"/>
        <w:tblW w:w="10563" w:type="dxa"/>
        <w:jc w:val="left"/>
        <w:tblInd w:w="141" w:type="dxa"/>
        <w:tblCellMar>
          <w:top w:w="0" w:type="dxa"/>
          <w:left w:w="153" w:type="dxa"/>
          <w:bottom w:w="0" w:type="dxa"/>
          <w:right w:w="108" w:type="dxa"/>
        </w:tblCellMar>
        <w:tblLook w:val="04a0"/>
      </w:tblPr>
      <w:tblGrid>
        <w:gridCol w:w="5299"/>
        <w:gridCol w:w="5263"/>
      </w:tblGrid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Организация водопроводно-</w:t>
            </w:r>
          </w:p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канализационного хозяйства:</w:t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 w:cs="Arial"/>
                <w:sz w:val="20"/>
              </w:rPr>
            </w:pPr>
            <w:r>
              <w:rPr>
                <w:rFonts w:cs="Arial" w:ascii="Times New Roman" w:hAnsi="Times New Roman"/>
                <w:sz w:val="20"/>
              </w:rPr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Перевозчик: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cs="Arial" w:ascii="Times New Roman" w:hAnsi="Times New Roman"/>
                <w:sz w:val="20"/>
              </w:rPr>
            </w:r>
          </w:p>
        </w:tc>
      </w:tr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0"/>
              </w:rPr>
              <w:t>_________________</w:t>
            </w:r>
            <w:r>
              <w:rPr>
                <w:rFonts w:cs="Arial" w:ascii="Times New Roman" w:hAnsi="Times New Roman"/>
                <w:b/>
                <w:bCs/>
                <w:sz w:val="20"/>
              </w:rPr>
              <w:t>О.С.Руденко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0"/>
              </w:rPr>
              <w:t>________________</w:t>
            </w:r>
          </w:p>
        </w:tc>
      </w:tr>
    </w:tbl>
    <w:p>
      <w:pPr>
        <w:pStyle w:val="ConsPlusNonformat"/>
        <w:ind w:left="142" w:hanging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nformat"/>
        <w:ind w:left="142" w:hanging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ConsPlusNormal"/>
        <w:ind w:left="142" w:hanging="0"/>
        <w:jc w:val="center"/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p>
      <w:pPr>
        <w:pStyle w:val="ConsPlusNormal"/>
        <w:ind w:left="142" w:hanging="0"/>
        <w:jc w:val="center"/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p>
      <w:pPr>
        <w:pStyle w:val="ConsPlusNormal"/>
        <w:ind w:left="142" w:hanging="0"/>
        <w:jc w:val="center"/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  <w:r>
        <w:br w:type="page"/>
      </w:r>
    </w:p>
    <w:p>
      <w:pPr>
        <w:pStyle w:val="ConsPlusNormal"/>
        <w:ind w:left="142" w:hanging="0"/>
        <w:jc w:val="right"/>
        <w:rPr>
          <w:rFonts w:ascii="Arial" w:hAnsi="Arial" w:cs="Arial"/>
          <w:sz w:val="16"/>
          <w:szCs w:val="16"/>
        </w:rPr>
      </w:pPr>
      <w:bookmarkStart w:id="4" w:name="Par322"/>
      <w:bookmarkEnd w:id="4"/>
      <w:r>
        <w:rPr>
          <w:rFonts w:cs="Arial" w:ascii="Times New Roman" w:hAnsi="Times New Roman"/>
          <w:sz w:val="16"/>
          <w:szCs w:val="16"/>
        </w:rPr>
        <w:t>Приложение N 2</w:t>
      </w:r>
    </w:p>
    <w:p>
      <w:pPr>
        <w:pStyle w:val="ConsPlusNormal"/>
        <w:ind w:left="142" w:hanging="0"/>
        <w:jc w:val="right"/>
        <w:rPr/>
      </w:pPr>
      <w:r>
        <w:rPr>
          <w:rFonts w:cs="Arial" w:ascii="Times New Roman" w:hAnsi="Times New Roman"/>
          <w:sz w:val="16"/>
          <w:szCs w:val="16"/>
        </w:rPr>
        <w:t>к договору  №  от .</w:t>
      </w:r>
    </w:p>
    <w:p>
      <w:pPr>
        <w:pStyle w:val="ConsPlusNormal"/>
        <w:ind w:left="142" w:hanging="0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16"/>
          <w:szCs w:val="16"/>
        </w:rPr>
        <w:t>водоотведения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ConsPlusNonformat"/>
        <w:ind w:left="142" w:hanging="0"/>
        <w:jc w:val="center"/>
        <w:rPr/>
      </w:pPr>
      <w:r>
        <w:rPr>
          <w:rFonts w:cs="Arial" w:ascii="Times New Roman" w:hAnsi="Times New Roman"/>
          <w:b/>
        </w:rPr>
        <w:t>СВЕДЕНИЯ</w:t>
      </w:r>
    </w:p>
    <w:p>
      <w:pPr>
        <w:pStyle w:val="ConsPlusNonformat"/>
        <w:ind w:left="142" w:hanging="0"/>
        <w:jc w:val="left"/>
        <w:rPr/>
      </w:pPr>
      <w:r>
        <w:rPr>
          <w:rFonts w:cs="Arial" w:ascii="Times New Roman" w:hAnsi="Times New Roman"/>
          <w:b/>
        </w:rPr>
        <w:t xml:space="preserve">                                     </w:t>
      </w:r>
      <w:r>
        <w:rPr>
          <w:rFonts w:cs="Arial" w:ascii="Times New Roman" w:hAnsi="Times New Roman"/>
          <w:b/>
        </w:rPr>
        <w:t>о нормативах допустимых сбросов абонентов (лимитах на сбросы), нормативах</w:t>
      </w:r>
    </w:p>
    <w:p>
      <w:pPr>
        <w:pStyle w:val="ConsPlusNonformat"/>
        <w:ind w:left="142" w:hanging="0"/>
        <w:jc w:val="left"/>
        <w:rPr/>
      </w:pPr>
      <w:r>
        <w:rPr>
          <w:rFonts w:cs="Arial" w:ascii="Times New Roman" w:hAnsi="Times New Roman"/>
          <w:b/>
        </w:rPr>
        <w:t xml:space="preserve">                                     </w:t>
      </w:r>
      <w:r>
        <w:rPr>
          <w:rFonts w:cs="Arial" w:ascii="Times New Roman" w:hAnsi="Times New Roman"/>
          <w:b/>
        </w:rPr>
        <w:t xml:space="preserve">водоотведения по составу сточных вод и требованиях к составу и свойствам сточных </w:t>
      </w:r>
    </w:p>
    <w:p>
      <w:pPr>
        <w:pStyle w:val="ConsPlusNonformat"/>
        <w:ind w:left="142" w:hanging="0"/>
        <w:jc w:val="left"/>
        <w:rPr/>
      </w:pPr>
      <w:r>
        <w:rPr>
          <w:rFonts w:cs="Arial" w:ascii="Times New Roman" w:hAnsi="Times New Roman"/>
          <w:b/>
        </w:rPr>
        <w:t xml:space="preserve">                                    </w:t>
      </w:r>
      <w:r>
        <w:rPr>
          <w:rFonts w:cs="Arial" w:ascii="Times New Roman" w:hAnsi="Times New Roman"/>
          <w:b/>
        </w:rPr>
        <w:t xml:space="preserve">вод, установленных для абонента в целях предотвращения негативного воздействия </w:t>
      </w:r>
    </w:p>
    <w:p>
      <w:pPr>
        <w:pStyle w:val="ConsPlusNonformat"/>
        <w:spacing w:lineRule="auto" w:line="240" w:before="0" w:after="0"/>
        <w:ind w:left="142" w:hanging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</w:rPr>
        <w:t xml:space="preserve">                                                        </w:t>
      </w:r>
      <w:r>
        <w:rPr>
          <w:rFonts w:cs="Arial" w:ascii="Times New Roman" w:hAnsi="Times New Roman"/>
          <w:b/>
          <w:sz w:val="20"/>
          <w:szCs w:val="20"/>
        </w:rPr>
        <w:t>на работу централизованной системы водоотведения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ConsPlusNormal"/>
        <w:ind w:left="142" w:hanging="0"/>
        <w:jc w:val="both"/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tbl>
      <w:tblPr>
        <w:tblW w:w="10299" w:type="dxa"/>
        <w:jc w:val="left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700"/>
        <w:gridCol w:w="6767"/>
        <w:gridCol w:w="1832"/>
      </w:tblGrid>
      <w:tr>
        <w:trPr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Номер и наименование канализационных выпусков</w:t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Перечень загрязняющих веществ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Допустимые концентрации загрязняющих  веществ (мг/дм</w:t>
            </w:r>
            <w:r>
              <w:rPr>
                <w:rFonts w:cs="Times New Roman"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)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>
        <w:trPr>
          <w:trHeight w:val="697" w:hRule="exact"/>
          <w:cantSplit w:val="true"/>
        </w:trPr>
        <w:tc>
          <w:tcPr>
            <w:tcW w:w="102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</w:rPr>
              <w:t xml:space="preserve">I. Нормативные показатели общих свойств сточных вод и допустимые концентрации загрязняющих веществ в сточных водах, допущенных к сбросу в централизованные общесплавные и бытовые системы водоотведения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/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/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Arial" w:cs="Arial" w:ascii="Times New Roman" w:hAnsi="Times New Roman"/>
                <w:sz w:val="18"/>
                <w:szCs w:val="18"/>
                <w:lang w:val="ru-RU"/>
              </w:rPr>
              <w:t>Водородный показатель</w:t>
            </w:r>
            <w:r>
              <w:rPr>
                <w:rFonts w:eastAsia="Arial" w:cs="Arial" w:ascii="Times New Roman" w:hAnsi="Times New Roman"/>
                <w:sz w:val="18"/>
                <w:szCs w:val="18"/>
              </w:rPr>
              <w:t xml:space="preserve"> (pH)</w:t>
            </w:r>
          </w:p>
          <w:p>
            <w:pPr>
              <w:pStyle w:val="Normal"/>
              <w:snapToGrid w:val="false"/>
              <w:spacing w:lineRule="atLeast" w:line="100" w:before="0" w:after="0"/>
              <w:rPr/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eastAsia="Arial" w:cs="Arial" w:ascii="Times New Roman" w:hAnsi="Times New Roman"/>
                <w:sz w:val="18"/>
                <w:szCs w:val="18"/>
              </w:rPr>
              <w:t xml:space="preserve">6,0 - 9,0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Times New Roman" w:hAnsi="Times New Roman"/>
                <w:sz w:val="18"/>
                <w:szCs w:val="18"/>
              </w:rPr>
              <w:t xml:space="preserve">                       </w:t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Температура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+40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Полихлорированные бифенилы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0,001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Жиры 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56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Нефтепродукты 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70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Летучие органические соединения (ЛОС) (в том числе толуол, бензол, ацетон, метанол, бутанол, пропанол, их изомеры и алкилпроизводные по сумме ЛОС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Сульфиды (S-H2S+S2-)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Хлор и хлорамины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5,0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Соотношение ХПК: БПК5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Взвешенные вещества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БПК5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ХПК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Азот общий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</w:t>
            </w:r>
          </w:p>
        </w:tc>
      </w:tr>
      <w:tr>
        <w:trPr>
          <w:trHeight w:val="351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Фосфор общий (</w:t>
            </w:r>
            <w:r>
              <w:rPr>
                <w:rFonts w:ascii="Times New Roman" w:hAnsi="Times New Roman"/>
                <w:sz w:val="18"/>
                <w:szCs w:val="18"/>
              </w:rPr>
              <w:drawing>
                <wp:inline distT="0" distB="0" distL="0" distR="0">
                  <wp:extent cx="281305" cy="2298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СПАВ анионные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Фенолы (сумма)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95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Сульфаты (</w:t>
            </w:r>
            <w:r>
              <w:rPr>
                <w:rFonts w:ascii="Times New Roman" w:hAnsi="Times New Roman"/>
                <w:sz w:val="18"/>
                <w:szCs w:val="18"/>
              </w:rPr>
              <w:drawing>
                <wp:inline distT="0" distB="0" distL="0" distR="0">
                  <wp:extent cx="396240" cy="248920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Хлориды (Cl-)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Алюминий (Al)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Железо (Fe)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Марганец (Mn)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Медь (Cu)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Цинк (Zn)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Хром общий 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Хром Cr(VI) шестивалентный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Никель (Ni)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Кадмий (Cd)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0,015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Свинец (Pb)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0,25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Мышьяк (As)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Ртуть (Hg)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0,005 </w:t>
            </w:r>
          </w:p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</w:tcMar>
          </w:tcPr>
          <w:p>
            <w:pPr>
              <w:pStyle w:val="ConsPlusDocList"/>
              <w:snapToGrid w:val="false"/>
              <w:spacing w:lineRule="atLeast" w:line="100"/>
              <w:jc w:val="left"/>
              <w:rPr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СПАВ неионогенные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ConsPlusDocList"/>
              <w:snapToGrid w:val="false"/>
              <w:spacing w:lineRule="atLeast" w:line="1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СПАВ 10</w:t>
            </w:r>
          </w:p>
        </w:tc>
      </w:tr>
    </w:tbl>
    <w:p>
      <w:pPr>
        <w:pStyle w:val="Normal"/>
        <w:spacing w:lineRule="auto" w:line="240" w:before="0" w:after="0"/>
        <w:ind w:left="142"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142"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142"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tbl>
      <w:tblPr>
        <w:tblStyle w:val="a3"/>
        <w:tblW w:w="10563" w:type="dxa"/>
        <w:jc w:val="left"/>
        <w:tblInd w:w="141" w:type="dxa"/>
        <w:tblCellMar>
          <w:top w:w="0" w:type="dxa"/>
          <w:left w:w="153" w:type="dxa"/>
          <w:bottom w:w="0" w:type="dxa"/>
          <w:right w:w="108" w:type="dxa"/>
        </w:tblCellMar>
        <w:tblLook w:val="04a0"/>
      </w:tblPr>
      <w:tblGrid>
        <w:gridCol w:w="5299"/>
        <w:gridCol w:w="5263"/>
      </w:tblGrid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Организация водопроводно-</w:t>
            </w:r>
          </w:p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канализационного хозяйства:</w:t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 w:cs="Arial"/>
                <w:b/>
                <w:b/>
                <w:bCs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</w:rPr>
              <w:t>Перевозчик:</w:t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cs="Arial" w:ascii="Times New Roman" w:hAnsi="Times New Roman"/>
                <w:sz w:val="20"/>
              </w:rPr>
            </w:r>
          </w:p>
        </w:tc>
      </w:tr>
      <w:tr>
        <w:trPr/>
        <w:tc>
          <w:tcPr>
            <w:tcW w:w="52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0"/>
              </w:rPr>
              <w:t>_________________</w:t>
            </w:r>
            <w:r>
              <w:rPr>
                <w:rFonts w:cs="Arial" w:ascii="Times New Roman" w:hAnsi="Times New Roman"/>
                <w:b/>
                <w:bCs/>
                <w:sz w:val="20"/>
              </w:rPr>
              <w:t>О.С.Руденко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ConsPlusNormal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0"/>
              </w:rPr>
              <w:t>______________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850" w:right="565" w:header="0" w:top="567" w:footer="0" w:bottom="709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2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021674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Arial"/>
      <w:sz w:val="20"/>
      <w:szCs w:val="20"/>
    </w:rPr>
  </w:style>
  <w:style w:type="character" w:styleId="ListLabel2">
    <w:name w:val="ListLabel 2"/>
    <w:qFormat/>
    <w:rPr>
      <w:rFonts w:cs="Arial"/>
      <w:color w:val="00000A"/>
      <w:sz w:val="16"/>
      <w:szCs w:val="16"/>
      <w:lang w:val="en-US"/>
    </w:rPr>
  </w:style>
  <w:style w:type="character" w:styleId="ListLabel3">
    <w:name w:val="ListLabel 3"/>
    <w:qFormat/>
    <w:rPr>
      <w:rFonts w:cs="Arial"/>
      <w:color w:val="00000A"/>
      <w:sz w:val="16"/>
      <w:szCs w:val="16"/>
    </w:rPr>
  </w:style>
  <w:style w:type="character" w:styleId="ListLabel4">
    <w:name w:val="ListLabel 4"/>
    <w:qFormat/>
    <w:rPr>
      <w:rFonts w:ascii="Times New Roman" w:hAnsi="Times New Roman" w:cs="Arial"/>
      <w:sz w:val="16"/>
      <w:szCs w:val="16"/>
    </w:rPr>
  </w:style>
  <w:style w:type="character" w:styleId="ListLabel5">
    <w:name w:val="ListLabel 5"/>
    <w:qFormat/>
    <w:rPr>
      <w:rFonts w:ascii="Times New Roman" w:hAnsi="Times New Roman"/>
      <w:sz w:val="16"/>
      <w:szCs w:val="16"/>
      <w:lang w:val="en-US"/>
    </w:rPr>
  </w:style>
  <w:style w:type="character" w:styleId="ListLabel6">
    <w:name w:val="ListLabel 6"/>
    <w:qFormat/>
    <w:rPr>
      <w:rFonts w:ascii="Times New Roman" w:hAnsi="Times New Roman"/>
      <w:sz w:val="16"/>
      <w:szCs w:val="16"/>
    </w:rPr>
  </w:style>
  <w:style w:type="character" w:styleId="ListLabel7">
    <w:name w:val="ListLabel 7"/>
    <w:qFormat/>
    <w:rPr>
      <w:rFonts w:ascii="Times New Roman" w:hAnsi="Times New Roman" w:cs="Arial"/>
      <w:sz w:val="20"/>
      <w:szCs w:val="20"/>
    </w:rPr>
  </w:style>
  <w:style w:type="character" w:styleId="ListLabel8">
    <w:name w:val="ListLabel 8"/>
    <w:qFormat/>
    <w:rPr>
      <w:rFonts w:cs="Arial"/>
      <w:color w:val="00000A"/>
      <w:sz w:val="16"/>
      <w:szCs w:val="16"/>
      <w:lang w:val="en-US"/>
    </w:rPr>
  </w:style>
  <w:style w:type="character" w:styleId="ListLabel9">
    <w:name w:val="ListLabel 9"/>
    <w:qFormat/>
    <w:rPr>
      <w:rFonts w:cs="Arial"/>
      <w:color w:val="00000A"/>
      <w:sz w:val="16"/>
      <w:szCs w:val="16"/>
    </w:rPr>
  </w:style>
  <w:style w:type="character" w:styleId="ListLabel10">
    <w:name w:val="ListLabel 10"/>
    <w:qFormat/>
    <w:rPr>
      <w:rFonts w:ascii="Times New Roman" w:hAnsi="Times New Roman" w:cs="Arial"/>
      <w:sz w:val="16"/>
      <w:szCs w:val="16"/>
    </w:rPr>
  </w:style>
  <w:style w:type="character" w:styleId="ListLabel11">
    <w:name w:val="ListLabel 11"/>
    <w:qFormat/>
    <w:rPr>
      <w:rFonts w:ascii="Times New Roman" w:hAnsi="Times New Roman"/>
      <w:sz w:val="16"/>
      <w:szCs w:val="16"/>
      <w:lang w:val="en-US"/>
    </w:rPr>
  </w:style>
  <w:style w:type="character" w:styleId="ListLabel12">
    <w:name w:val="ListLabel 12"/>
    <w:qFormat/>
    <w:rPr>
      <w:rFonts w:ascii="Times New Roman" w:hAnsi="Times New Roman"/>
      <w:sz w:val="16"/>
      <w:szCs w:val="16"/>
    </w:rPr>
  </w:style>
  <w:style w:type="character" w:styleId="ListLabel13">
    <w:name w:val="ListLabel 13"/>
    <w:qFormat/>
    <w:rPr>
      <w:rFonts w:ascii="Times New Roman" w:hAnsi="Times New Roman" w:cs="Arial"/>
      <w:sz w:val="20"/>
      <w:szCs w:val="20"/>
    </w:rPr>
  </w:style>
  <w:style w:type="character" w:styleId="ListLabel14">
    <w:name w:val="ListLabel 14"/>
    <w:qFormat/>
    <w:rPr>
      <w:rFonts w:cs="Arial"/>
      <w:color w:val="00000A"/>
      <w:sz w:val="16"/>
      <w:szCs w:val="16"/>
      <w:lang w:val="en-US"/>
    </w:rPr>
  </w:style>
  <w:style w:type="character" w:styleId="ListLabel15">
    <w:name w:val="ListLabel 15"/>
    <w:qFormat/>
    <w:rPr>
      <w:rFonts w:cs="Arial"/>
      <w:color w:val="00000A"/>
      <w:sz w:val="16"/>
      <w:szCs w:val="16"/>
    </w:rPr>
  </w:style>
  <w:style w:type="character" w:styleId="ListLabel16">
    <w:name w:val="ListLabel 16"/>
    <w:qFormat/>
    <w:rPr>
      <w:rFonts w:ascii="Times New Roman" w:hAnsi="Times New Roman" w:cs="Arial"/>
      <w:sz w:val="16"/>
      <w:szCs w:val="16"/>
    </w:rPr>
  </w:style>
  <w:style w:type="character" w:styleId="ListLabel17">
    <w:name w:val="ListLabel 17"/>
    <w:qFormat/>
    <w:rPr>
      <w:rFonts w:ascii="Times New Roman" w:hAnsi="Times New Roman"/>
      <w:sz w:val="16"/>
      <w:szCs w:val="16"/>
      <w:lang w:val="en-US"/>
    </w:rPr>
  </w:style>
  <w:style w:type="character" w:styleId="ListLabel18">
    <w:name w:val="ListLabel 18"/>
    <w:qFormat/>
    <w:rPr>
      <w:rFonts w:ascii="Times New Roman" w:hAnsi="Times New Roman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c20bd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490e3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Style20" w:customStyle="1">
    <w:name w:val="Текст приложения"/>
    <w:basedOn w:val="Normal"/>
    <w:qFormat/>
    <w:rsid w:val="00021674"/>
    <w:pPr>
      <w:spacing w:lineRule="auto" w:line="240" w:before="60" w:after="6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onsPlusTitle" w:customStyle="1">
    <w:name w:val="ConsPlusTitle"/>
    <w:qFormat/>
    <w:rsid w:val="00ad78b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DocList">
    <w:name w:val="  ConsPlusDocList"/>
    <w:next w:val="Normal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Arial" w:cs="Arial"/>
      <w:color w:val="00000A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167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1327ED9B7B70C211ABBF63514821EE4F8BD389610802D346ADD82ABEA16C4EDC24972F3F64EFE6Ei7R7G" TargetMode="External"/><Relationship Id="rId3" Type="http://schemas.openxmlformats.org/officeDocument/2006/relationships/hyperlink" Target="consultantplus://offline/ref=21327ED9B7B70C211ABBF63514821EE4F8BD389610802D346ADD82ABEA16C4EDC24972F3F64EFE6Ei7R7G" TargetMode="External"/><Relationship Id="rId4" Type="http://schemas.openxmlformats.org/officeDocument/2006/relationships/hyperlink" Target="consultantplus://offline/ref=21327ED9B7B70C211ABBF63514821EE4F8B23B9614862D346ADD82ABEA16C4EDC24972F3F64EFE6Fi7RCG" TargetMode="External"/><Relationship Id="rId5" Type="http://schemas.openxmlformats.org/officeDocument/2006/relationships/hyperlink" Target="consultantplus://offline/ref=21327ED9B7B70C211ABBF63514821EE4F8B23B9614862D346ADD82ABEA16C4EDC24972F3F64EFE6Fi7RCG" TargetMode="External"/><Relationship Id="rId6" Type="http://schemas.openxmlformats.org/officeDocument/2006/relationships/hyperlink" Target="consultantplus://offline/ref=21327ED9B7B70C211ABBF63514821EE4F8BC399715872D346ADD82ABEAi1R6G" TargetMode="External"/><Relationship Id="rId7" Type="http://schemas.openxmlformats.org/officeDocument/2006/relationships/hyperlink" Target="consultantplus://offline/ref=21327ED9B7B70C211ABBF63514821EE4F8BD3F96198E2D346ADD82ABEA16C4EDC24972F3F64EFE6Ei7R7G" TargetMode="External"/><Relationship Id="rId8" Type="http://schemas.openxmlformats.org/officeDocument/2006/relationships/hyperlink" Target="mailto:komisvk@gmail.com" TargetMode="External"/><Relationship Id="rId9" Type="http://schemas.openxmlformats.org/officeDocument/2006/relationships/hyperlink" Target="mailto:buhsvk@gmail.com" TargetMode="External"/><Relationship Id="rId10" Type="http://schemas.openxmlformats.org/officeDocument/2006/relationships/hyperlink" Target="http://www.svodokanal.ru/" TargetMode="External"/><Relationship Id="rId11" Type="http://schemas.openxmlformats.org/officeDocument/2006/relationships/image" Target="media/image1.wmf"/><Relationship Id="rId12" Type="http://schemas.openxmlformats.org/officeDocument/2006/relationships/image" Target="media/image2.wmf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LibreOffice/5.1.3.2$Windows_X86_64 LibreOffice_project/644e4637d1d8544fd9f56425bd6cec110e49301b</Application>
  <Pages>6</Pages>
  <Words>2587</Words>
  <Characters>19233</Characters>
  <CharactersWithSpaces>22107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2017-08-04T11:45:00Z</dcterms:created>
  <dc:creator>Томилов</dc:creator>
  <dc:description/>
  <dc:language>ru-RU</dc:language>
  <cp:lastModifiedBy/>
  <cp:lastPrinted>2017-08-24T11:32:27Z</cp:lastPrinted>
  <dcterms:modified xsi:type="dcterms:W3CDTF">2019-05-22T09:15:01Z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